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AGENCIJA ZA PROSTORNO PLANIRANJE I URBANIZAM REPUBLIKE SRBIJE</w:t>
      </w:r>
    </w:p>
    <w:p>
      <w:pPr>
        <w:pStyle w:val="BodyText"/>
      </w:pPr>
      <w:r>
        <w:t xml:space="preserve">Kralja Milutina 10a, 11000 Beograd</w:t>
      </w:r>
    </w:p>
    <w:p>
      <w:pPr>
        <w:pStyle w:val="BodyText"/>
      </w:pPr>
      <w:r>
        <w:t xml:space="preserve">Podnosilac primedbi: [IME I PREZIME]</w:t>
      </w:r>
    </w:p>
    <w:p>
      <w:pPr>
        <w:pStyle w:val="BodyText"/>
      </w:pPr>
      <w:r>
        <w:t xml:space="preserve">Adresa: [ADRESA]</w:t>
      </w:r>
    </w:p>
    <w:p>
      <w:pPr>
        <w:pStyle w:val="BodyText"/>
      </w:pPr>
      <w:r>
        <w:t xml:space="preserve">Kontakt: [E-POŠTA / TELEFON]</w:t>
      </w:r>
    </w:p>
    <w:p>
      <w:pPr>
        <w:pStyle w:val="BodyText"/>
      </w:pPr>
      <w:r>
        <w:t xml:space="preserve">Datum: [DATUM], u [MESTO]</w:t>
      </w:r>
    </w:p>
    <w:p>
      <w:pPr>
        <w:pStyle w:val="BodyText"/>
      </w:pPr>
      <w:r>
        <w:rPr>
          <w:b/>
          <w:bCs/>
        </w:rPr>
        <w:t xml:space="preserve">PREDMET: Primedbe u postupku ranog javnog uvida u Prostorni plan područja posebne namene rudarsko-metalurškog kompleksa „Čukaru Peki” i „Malka Golaja”, sa zahtevom za stavljanje van snage Odluke o izradi („Službeni glasnik RS”, broj 54/26)</w:t>
      </w:r>
    </w:p>
    <w:p>
      <w:pPr>
        <w:pStyle w:val="BodyText"/>
      </w:pPr>
      <w:r>
        <w:t xml:space="preserve">Na osnovu člana 45a Zakona o planiranju i izgradnji („Službeni glasnik RS”, br. 72/09… 91/25) i oglasa o ranom javnom uvidu, u zakonom propisanom roku podnosim sledeće primedbe na Elaborat – konceptualni materijal za rani javni uvid, izrađen od strane Instituta za arhitekturu i urbanizam Srbije (jul 2026), po Odluci o izradi („Službeni glasnik RS”, broj 54/26), a po narudžbini privrednog društva Serbia Zijin Mining d.o.o. Bor.</w:t>
      </w:r>
    </w:p>
    <w:p>
      <w:pPr>
        <w:pStyle w:val="BodyText"/>
      </w:pPr>
      <w:r>
        <w:t xml:space="preserve">Primedbe koje slede pokazuju da nedostaci nisu tehničke prirode i da se ne mogu otkloniti u daljem toku izrade plana: oni se tiču samog pravnog osnova Odluke o izradi i nepostojanja obaveznih stručnih podloga i uslova nadležnih organa, koji su po zakonu morali biti pribavljeni pre donošenja te odluke. Zbog toga se sve primedbe svode na jedan zahtev, izložen na kraju ovog podneska.</w:t>
      </w:r>
    </w:p>
    <w:bookmarkStart w:id="9" w:name="X1d93cad8627dfc1613e1050214e615674df4001"/>
    <w:p>
      <w:pPr>
        <w:pStyle w:val="Heading2"/>
      </w:pPr>
      <w:r>
        <w:rPr>
          <w:b/>
          <w:bCs/>
        </w:rPr>
        <w:t xml:space="preserve">Primedba 1: Objedinjavanje tri kapitalna projekta u jedan plan, bez studijske dokumentacije za dva od njih</w:t>
      </w:r>
    </w:p>
    <w:p>
      <w:pPr>
        <w:pStyle w:val="FirstParagraph"/>
      </w:pPr>
      <w:r>
        <w:t xml:space="preserve">Elaborat u jedinstven planski okvir od oko 126 km² objedinjuje tri zasebna kapitalna projekta: podzemni rudnik „Čukaru Peki” – Donje ležište, novi rudnik „Malka Golaja” i potpuno novu topionicu. Sam Elaborat navodi da je za rudnik „Malka Golaja” i novu topionicu izrada studijske i tehničke dokumentacije „tek nedavno započeta”, da je lokacija topionice „preliminarna”, a da su svi navedeni podaci „orijentacioni”. Time se javnosti u ranom javnom uvidu nudi konceptualni materijal koji prejudicira namenu prostora ogromnih razmera bez elementarnih stručnih podloga (prethodne studije izvodljivosti, idejnih rešenja, katastarsko-topografskih podloga, hidrogeoloških i geotehničkih studija), koje sam Elaborat navodi kao neophodne. Planiraju se namene, koridori i uticaji za objekte koji još nisu tehnički definisani, što je suprotno Pravilniku o sadržini, načinu i postupku izrade dokumenata prostornog i urbanističkog planiranja („Službeni glasnik RS”, br. 64/15, 47/25 i 40/26), koji zahteva da se plan zasniva na proverenim podacima.</w:t>
      </w:r>
    </w:p>
    <w:bookmarkEnd w:id="9"/>
    <w:bookmarkStart w:id="10" w:name="Xee7be286222791709bfcdc947bbe3afcc9bc520"/>
    <w:p>
      <w:pPr>
        <w:pStyle w:val="Heading2"/>
      </w:pPr>
      <w:r>
        <w:rPr>
          <w:b/>
          <w:bCs/>
        </w:rPr>
        <w:t xml:space="preserve">Primedba 2: Nova topionica – kapacitet, lokacija i rizici nisu definisani, a plan se već donosi</w:t>
      </w:r>
    </w:p>
    <w:p>
      <w:pPr>
        <w:pStyle w:val="FirstParagraph"/>
      </w:pPr>
      <w:r>
        <w:t xml:space="preserve">Planira se topionica konačnog kapaciteta do 400.000 t/god anodnog i katodnog bakra, „sa rezervisanim kapacitetom za dodatnih 450.000 t/god” – dakle potencijalno 850.000 t/god, bez ikakvog obrazloženja sirovinskog osnova za rezervisani kapacitet. Predviđeni su fabrika sumporne kiseline, cevovod za transport sumporne kiseline do Zagrađa, postupak izdvajanja arsena („sulfidizacija + neutralizacija”) i Seveso zona od najmanje 1.000 m. Istovremeno, lokacija je izričito označena kao preliminarna (KO Metovnica). Građani u ranom javnom uvidu ne mogu dati smislene primedbe na postrojenje čija lokacija, kapacitet i tehnologija nisu utvrđeni, niti se za takvo postrojenje mogu proceniti emisije SO2, NOx, arsena i teških metala.</w:t>
      </w:r>
    </w:p>
    <w:bookmarkEnd w:id="10"/>
    <w:bookmarkStart w:id="11" w:name="X3c3ea6dc87399ad680212ea7a71cfd8518b8ece"/>
    <w:p>
      <w:pPr>
        <w:pStyle w:val="Heading2"/>
      </w:pPr>
      <w:r>
        <w:rPr>
          <w:b/>
          <w:bCs/>
        </w:rPr>
        <w:t xml:space="preserve">Primedba 3: Flotacijsko jalovište od ~1.900 ha u dolini Kriveljske reke i preko milijardu tona jalovine</w:t>
      </w:r>
    </w:p>
    <w:p>
      <w:pPr>
        <w:pStyle w:val="FirstParagraph"/>
      </w:pPr>
      <w:r>
        <w:t xml:space="preserve">Prema Elaboratu, rudnik će tokom veka eksploatacije proizvesti oko 1.083,53 miliona tona flotacijske jalovine, koja se planira u dolini Kriveljske reke, nizvodno od postojećeg jalovišta „Veliki Krivelj”, uz zauzeće od oko 1.900 ha i prevođenje Kriveljske reke tunelom u Borsku reku. Elaborat pri tome zauzeće od 1.900 ha opisuje kao „relativno malo zauzeće prostora”, iako je reč o 19 km², površini većoj od 2.000 fudbalskih terena – što je grubo potcenjivanje stvarnog uticaja na prostor i životnu sredinu u postupku javnog uvida. Uz to se paušalno tvrdi da „jalovina neće zagađivati podzemne vode i okolne vodene sisteme”, iako tehnička dokumentacija ne postoji, a planirano pošumljavanje od 1.000–1.500 ha manje je od površine samog jalovišta.</w:t>
      </w:r>
    </w:p>
    <w:bookmarkEnd w:id="11"/>
    <w:bookmarkStart w:id="12" w:name="Xbfaa03b05245a5a8e30bb049796043ca56f6eb2"/>
    <w:p>
      <w:pPr>
        <w:pStyle w:val="Heading2"/>
      </w:pPr>
      <w:r>
        <w:rPr>
          <w:b/>
          <w:bCs/>
        </w:rPr>
        <w:t xml:space="preserve">Primedba 4: Vodni bilans ne postoji, a nabrajaju se izvorišta od Brestovačke reke do Dunava i Borskog jezera</w:t>
      </w:r>
    </w:p>
    <w:p>
      <w:pPr>
        <w:pStyle w:val="FirstParagraph"/>
      </w:pPr>
      <w:r>
        <w:t xml:space="preserve">Elaborat predviđa zahvatanje vode iz Borske i Brestovačke reke, „po potrebi iz Timoka i Dunava”, a za rudnik „Malka Golaja” iz Velikog i Crnog Timoka, uz Borsko jezero kao dopunski izvor. Istovremeno konstatuje da svi manji vodotoci imaju izrazito bujični karakter, da u malovodnim periodima treba obustaviti svako zahvatanje, kao i da klimatske promene donose dugotrajne suše i otežano snabdevanje pijaćom vodom. Područje je bogato izvorištima pijaće vode – uključujući i javne česme u Zaječaru – pa je izostanak celovitog vodnog bilansa, garantovanih ekoloških protoka i utvrđenog prioriteta vodosnabdevanja stanovništva osnovni nedostatak. Korišćenje Borskog jezera, ključnog turističkog resursa, kao industrijskog izvorišta, posebno je neprihvatljivo.</w:t>
      </w:r>
    </w:p>
    <w:bookmarkEnd w:id="12"/>
    <w:bookmarkStart w:id="13" w:name="X71c25a033e7f4e7248afc4d5c0fcc451b6f25fb"/>
    <w:p>
      <w:pPr>
        <w:pStyle w:val="Heading2"/>
      </w:pPr>
      <w:r>
        <w:rPr>
          <w:b/>
          <w:bCs/>
        </w:rPr>
        <w:t xml:space="preserve">Primedba 5: Rizik po termomineralne vode Brestovačke i Gamzigradske banje</w:t>
      </w:r>
    </w:p>
    <w:p>
      <w:pPr>
        <w:pStyle w:val="FirstParagraph"/>
      </w:pPr>
      <w:r>
        <w:t xml:space="preserve">Elaborat navodi da su evidentirane pojave termomineralnih voda kod Brestovačke i Gamzigradske banje, sela Šarbanovac i Nikoličevo, kao i da istraživanja „ukazuju na verovatnoću da su termomineralna izvorišta povezana”. Podzemna eksploatacija do dubine od -1.800 m, sa crpljenjem podzemnih voda i formiranjem depresionog levka, može trajno ugroziti ova izvorišta i banjski turizam kao razvojnu alternativu regiona. Detaljna hidrogeološka studija veze termomineralnih izvorišta u Nikoličevu i Gamzigradskoj banji sa zonom rudarskih radova nije izrađena, iako je morala prethoditi svakom planiranju na ovom području.</w:t>
      </w:r>
    </w:p>
    <w:bookmarkEnd w:id="13"/>
    <w:bookmarkStart w:id="14" w:name="X553fea9d34cfc019855989532c2d86175a24e6e"/>
    <w:p>
      <w:pPr>
        <w:pStyle w:val="Heading2"/>
      </w:pPr>
      <w:r>
        <w:rPr>
          <w:b/>
          <w:bCs/>
        </w:rPr>
        <w:t xml:space="preserve">Primedba 6: Zona sleganja i zarušavanja tla – zabrana gradnje i pravna nesigurnost za građane</w:t>
      </w:r>
    </w:p>
    <w:p>
      <w:pPr>
        <w:pStyle w:val="FirstParagraph"/>
      </w:pPr>
      <w:r>
        <w:t xml:space="preserve">Eksploatacija Donjeg ležišta metodom sa zarušavanjem izazvaće sleganje i urušavanje tla, zbog čega se planira izmeštanje deonice državnog puta IB-37 Bor–Zaječar (~3.000 m), magistralnih dalekovoda 400 kV i 110 kV i stavljanje van funkcije aerodroma Bor. Za građane u zoni „pretežne namene” predviđena je zabrana izgradnje novih objekata „do preseljenja”, iako granice zone sleganja još nisu definisane, niti je javno objavljen geotehnički model na osnovu koga bi se utvrdile. Time se imovina građana faktički blokira na neodređeno vreme, pre bilo kakvog utvrđenog javnog interesa.</w:t>
      </w:r>
    </w:p>
    <w:bookmarkEnd w:id="14"/>
    <w:bookmarkStart w:id="15" w:name="X9020eda7b0c5185b2d46175f861c7858644bd08"/>
    <w:p>
      <w:pPr>
        <w:pStyle w:val="Heading2"/>
      </w:pPr>
      <w:r>
        <w:rPr>
          <w:b/>
          <w:bCs/>
        </w:rPr>
        <w:t xml:space="preserve">Primedba 7: Preseljenje stanovništva – neodređeni kriterijumi uz istovremeni planski osnov za eksproprijaciju</w:t>
      </w:r>
    </w:p>
    <w:p>
      <w:pPr>
        <w:pStyle w:val="FirstParagraph"/>
      </w:pPr>
      <w:r>
        <w:t xml:space="preserve">Elaborat preseljenje naziva „izuzetnom merom”, ali istovremeno navodi da planska rešenja za zonu uticaja „mogu predstavljati planski osnov za utvrđivanje javnog interesa i rešavanje imovinsko-pravnih pitanja, uključujući preseljenje”. Prvi put se u zonu rudarskih uticaja uvode i naselja na teritoriji grada Zaječara (deo KO Zvezdan, Nikoličevo). Kriterijumi za pokretanje preseljenja nisu utvrđeni, demografska analiza je odložena za nacrt plana, a domaćinstvima nije obezbeđeno pravo na izjašnjavanje pre utvrđivanja javnog interesa.</w:t>
      </w:r>
    </w:p>
    <w:bookmarkEnd w:id="15"/>
    <w:bookmarkStart w:id="16" w:name="X83a5fd74ecbb3b58fb477aba68a3cb4b84be5a5"/>
    <w:p>
      <w:pPr>
        <w:pStyle w:val="Heading2"/>
      </w:pPr>
      <w:r>
        <w:rPr>
          <w:b/>
          <w:bCs/>
        </w:rPr>
        <w:t xml:space="preserve">Primedba 8: Odlagalište piritnog koncentrata na „Malka Golaji” – rizik od kisele rudničke drenaže</w:t>
      </w:r>
    </w:p>
    <w:p>
      <w:pPr>
        <w:pStyle w:val="FirstParagraph"/>
      </w:pPr>
      <w:r>
        <w:t xml:space="preserve">U okviru rudnika „Malka Golaja” predviđeno je odlagalište piritnog koncentrata i rudarskog otpada, između Metovnice i Nikoličeva, u slivu Velikog Timoka. Piritni materijal je primarni generator kisele rudničke drenaže sa rastvorenim teškim metalima, a Elaborat ne sadrži ni geohemijsku karakterizaciju otpada, ni tehničko rešenje izolacije odlagališta, ni koncept upravljanja ovim rizikom, ni finansijske garancije za sanaciju nakon zatvaranja rudnika.</w:t>
      </w:r>
    </w:p>
    <w:bookmarkEnd w:id="16"/>
    <w:bookmarkStart w:id="17" w:name="X9e31559d0bd5c3b7e9a96fe27e0da861ffcf3f3"/>
    <w:p>
      <w:pPr>
        <w:pStyle w:val="Heading2"/>
      </w:pPr>
      <w:r>
        <w:rPr>
          <w:b/>
          <w:bCs/>
        </w:rPr>
        <w:t xml:space="preserve">Primedba 9: Biodiverzitet i tvrdnja da „nema zaštićenih prirodnih dobara” bez terenskih istraživanja</w:t>
      </w:r>
    </w:p>
    <w:p>
      <w:pPr>
        <w:pStyle w:val="FirstParagraph"/>
      </w:pPr>
      <w:r>
        <w:t xml:space="preserve">Elaborat konstatuje da na planskom području nema zaštićenih prirodnih dobara, a istovremeno priznaje prisustvo visoko osetljive vrste Paeonia officinalis (božur) i gubitak primeraka kopnenih biljaka. Odsustvo formalne zaštite nije dokaz odsustva prirodnih vrednosti – naročito na području od 126 km² za koje nisu sprovedena sistematska terenska istraživanja flore i faune. Na predmetnoj lokaciji su, pored božura, evidentirane i sledeće ugrožene vrste koje Elaborat uopšte ne pominje:</w:t>
      </w:r>
    </w:p>
    <w:p>
      <w:pPr>
        <w:pStyle w:val="Compact"/>
        <w:numPr>
          <w:ilvl w:val="0"/>
          <w:numId w:val="1001"/>
        </w:numPr>
      </w:pPr>
      <w:r>
        <w:t xml:space="preserve">velika mužica (Androsace maxima) – biljna vrsta; prema nalazima biologa, na području Malke Golaje, između sela Nikoličevo i Zvezdan, nalazi se jedino poznato stanište ove vrste u Srbiji;</w:t>
      </w:r>
    </w:p>
    <w:p>
      <w:pPr>
        <w:pStyle w:val="Compact"/>
        <w:numPr>
          <w:ilvl w:val="0"/>
          <w:numId w:val="1001"/>
        </w:numPr>
      </w:pPr>
      <w:r>
        <w:t xml:space="preserve">velika hrastova strižibuba (Cerambyx cerdo) – vrsta insekta sa Evropske crvene liste;</w:t>
      </w:r>
    </w:p>
    <w:p>
      <w:pPr>
        <w:pStyle w:val="Compact"/>
        <w:numPr>
          <w:ilvl w:val="0"/>
          <w:numId w:val="1001"/>
        </w:numPr>
      </w:pPr>
      <w:r>
        <w:t xml:space="preserve">vinogradarska strnadica (Emberiza hortulana) – ptica sa Evropske crvene liste, zastupljena sa oko 300 teritorija (gnezdećih parova) na predmetnoj lokaciji.</w:t>
      </w:r>
    </w:p>
    <w:p>
      <w:pPr>
        <w:pStyle w:val="FirstParagraph"/>
      </w:pPr>
      <w:r>
        <w:t xml:space="preserve">Vinogradarska strnadica je pri tome vrsta na osnovu koje je područje obuhvaćeno mrežom Natura 2000, što Elaborat takođe ne pominje niti razmatra kao ograničenje za planirane aktivnosti. Postojanje jedinog poznatog staništa jedne vrste u zemlji ukazuje da područje potencijalno ispunjava kriterijume za uključivanje u ekološku mrežu, pa je planiranje bez sveobuhvatne studije o biodiverzitetu, bez definisanih tampon zona i bez ocene prihvatljivosti za ekološku mrežu suprotno Zakonu o zaštiti prirode i međunarodnim obavezama Republike Srbije.</w:t>
      </w:r>
    </w:p>
    <w:bookmarkEnd w:id="17"/>
    <w:bookmarkStart w:id="18" w:name="X78c76720d10931bb196f90ad4503ca1f5cdf157"/>
    <w:p>
      <w:pPr>
        <w:pStyle w:val="Heading2"/>
      </w:pPr>
      <w:r>
        <w:rPr>
          <w:b/>
          <w:bCs/>
        </w:rPr>
        <w:t xml:space="preserve">Primedba 10: Kulturno nasleđe – blizina UNESCO lokaliteta Felix Romuliana</w:t>
      </w:r>
    </w:p>
    <w:p>
      <w:pPr>
        <w:pStyle w:val="FirstParagraph"/>
      </w:pPr>
      <w:r>
        <w:t xml:space="preserve">Plansko područje se neposredno graniči sa KO Gamzigrad, u čijoj se blizini nalazi arheološki lokalitet Felix Romuliana, ostaci rimske palate cara Galerija s kraja 3. i početka 4. veka, upisan 2007. godine na Listu svetske baštine UNESCO. U obuhvatu i neposrednoj blizini nalaze se i Zanjevačka crkva u selu Zvezdan, utvrđeni spomenik kulture čiji temelji sadrže ostatke građevine iz 10–11. veka, kao i tvrđava Kravarnik. Elaborat kulturno nasleđe obrađuje samo kroz jedan spomenik kulture i tri lokaliteta pod prethodnom zaštitom, bez ikakvog razmatranja uticaja rudarsko-metalurškog kompleksa (aerozagađenje, vibracije od miniranja, saobraćaj, promena predela, uticaj na stabilnost tla i hidrološke tokove) na zaštićenu okolinu svetske baštine. Status svetske baštine podrazumeva obavezu države da obezbedi zaštitu lokaliteta i analizu uticaja na kriterijume autentičnosti i integriteta zbog kojih je upisan, jer bi negativan uticaj predstavljao kršenje i domaćih i međunarodnih propisa.</w:t>
      </w:r>
    </w:p>
    <w:bookmarkEnd w:id="18"/>
    <w:bookmarkStart w:id="19" w:name="X93e99689b88dd77e830a527e5e1f8cd696e7e05"/>
    <w:p>
      <w:pPr>
        <w:pStyle w:val="Heading2"/>
      </w:pPr>
      <w:r>
        <w:rPr>
          <w:b/>
          <w:bCs/>
        </w:rPr>
        <w:t xml:space="preserve">Primedba 11: Prejudicirane ocene o odsustvu uticaja bez ikakvih podloga</w:t>
      </w:r>
    </w:p>
    <w:p>
      <w:pPr>
        <w:pStyle w:val="FirstParagraph"/>
      </w:pPr>
      <w:r>
        <w:t xml:space="preserve">Elaborat sadrži niz kategoričkih tvrdnji koje u ovoj fazi nemaju stručno pokriće, između ostalog da „jalovina neće zagađivati podzemne vode i okolne vodene sisteme”, da buka „neće uticati na životnu sredinu”, kao i da istražno bušenje „nije uticalo na životnu sredinu”. Ovakve ocene prejudiciraju nalaze Strateške procene uticaja koja se tek izrađuje i obesmišljavaju učešće javnosti.</w:t>
      </w:r>
    </w:p>
    <w:bookmarkEnd w:id="19"/>
    <w:bookmarkStart w:id="20" w:name="Xdad8cc8b1998e908dd9859b487d77d8463ed882"/>
    <w:p>
      <w:pPr>
        <w:pStyle w:val="Heading2"/>
      </w:pPr>
      <w:r>
        <w:rPr>
          <w:b/>
          <w:bCs/>
        </w:rPr>
        <w:t xml:space="preserve">Primedba 12: Prekogranični uticaji i obaveze po Espoo konvenciji</w:t>
      </w:r>
    </w:p>
    <w:p>
      <w:pPr>
        <w:pStyle w:val="FirstParagraph"/>
      </w:pPr>
      <w:r>
        <w:t xml:space="preserve">Prostorni plan Republike Srbije, na koji se Elaborat poziva, izričito konstatuje da rudarsko-metalurški kompleks u Boru preko Borske reke, Timoka i Kriveljske reke potencijalno može izazvati prekogranično zagađenje voda u Rumuniji i Bugarskoj. Planirano višestruko uvećanje prerade (dve flotacije od po 14,85 Mt/god), novo jalovište i topionica taj rizik značajno povećavaju, a postupak obaveštavanja i konsultovanja potencijalno pogođenih država u skladu sa Espoo konvencijom, čija je Republika Srbija potpisnica, nije predviđen.</w:t>
      </w:r>
    </w:p>
    <w:bookmarkEnd w:id="20"/>
    <w:bookmarkStart w:id="21" w:name="primedba-13-učešće-javnosti"/>
    <w:p>
      <w:pPr>
        <w:pStyle w:val="Heading2"/>
      </w:pPr>
      <w:r>
        <w:rPr>
          <w:b/>
          <w:bCs/>
        </w:rPr>
        <w:t xml:space="preserve">Primedba 13: Učešće javnosti</w:t>
      </w:r>
    </w:p>
    <w:p>
      <w:pPr>
        <w:pStyle w:val="FirstParagraph"/>
      </w:pPr>
      <w:r>
        <w:t xml:space="preserve">Imajući u vidu obim i složenost planskog dokumenta, kao i činjenicu da obuhvata teritorije dva grada, standardni rok ranog javnog uvida i pasivno izlaganje materijala ne obezbeđuju delotvorno učešće javnosti u smislu Arhuske konvencije, na koju se Elaborat poziva. Javne prezentacije u Boru i Zaječaru, u mesnim zajednicama koje su neposredno pogođene (Slatina, Metovnica, Brestovac, Zvezdan, Nikoličevo), nisu održane, niti je celokupna dokumentacija sa grafičkim prilozima u punoj rezoluciji objavljena na internet stranicama nosioca izrade i oba grada.</w:t>
      </w:r>
    </w:p>
    <w:bookmarkEnd w:id="21"/>
    <w:bookmarkStart w:id="22" w:name="X96016eafa4cde76a2c757155cd7b1540c708b36"/>
    <w:p>
      <w:pPr>
        <w:pStyle w:val="Heading2"/>
      </w:pPr>
      <w:r>
        <w:rPr>
          <w:b/>
          <w:bCs/>
        </w:rPr>
        <w:t xml:space="preserve">Primedba 14: Neispravan pravni osnov – pozivanje na propis koji je prestao da važi</w:t>
      </w:r>
    </w:p>
    <w:p>
      <w:pPr>
        <w:pStyle w:val="FirstParagraph"/>
      </w:pPr>
      <w:r>
        <w:t xml:space="preserve">Elaborat navodi da se plan zasniva na Zakonu o Prostornom planu Republike Srbije od 2010. do 2020. godine, koji je prestao da važi. Planski dokument mora biti usklađen sa važećim dokumentom višeg reda, a to je Prostorni plan Republike Srbije 2035, koji je, prema samom Elaboratu, tek u fazi usvajanja. Pozivanje na nepostojeći akt dovodi u pitanje pravnu valjanost celog planskog postupka. Uz to, u uvodnom delu Odluke o izradi strateške procene uticaja na životnu sredinu („Službeni glasnik RS”, broj 36/26), u navođenju zakonskog osnova (član 46. stav 1. Zakona o planiranju i izgradnji), navodi se serija brojeva „Službenog glasnika” koja uključuje zastarele, odnosno brojeve koji ne odgovaraju važećoj verziji zakona. Reč je o pravno-tehničkoj grešci koja akt čini tehnički neispravnim.</w:t>
      </w:r>
    </w:p>
    <w:bookmarkEnd w:id="22"/>
    <w:bookmarkStart w:id="23" w:name="X4d3924520fd20df2e35e9b469ed8b36dafd3527"/>
    <w:p>
      <w:pPr>
        <w:pStyle w:val="Heading2"/>
      </w:pPr>
      <w:r>
        <w:rPr>
          <w:b/>
          <w:bCs/>
        </w:rPr>
        <w:t xml:space="preserve">Primedba 15: Neusaglašenost Odluke o izradi i Odluke o strateškoj proceni uticaja</w:t>
      </w:r>
    </w:p>
    <w:p>
      <w:pPr>
        <w:pStyle w:val="FirstParagraph"/>
      </w:pPr>
      <w:r>
        <w:t xml:space="preserve">Elaborat navodi da će konačne granice planskog obuhvata biti utvrđene tek u Nacrtu plana, dok Odluka o izradi strateške procene uticaja na životnu sredinu („Službeni glasnik RS”, broj 36/26) mogućnost promene granica uopšte ne pominje. Postupak strateške procene time se vodi nad obuhvatom koji nije isti kao obuhvat plana, pa je unapred obesmišljen: procenjuju se uticaji na području čije granice nisu utvrđene.</w:t>
      </w:r>
    </w:p>
    <w:bookmarkEnd w:id="23"/>
    <w:bookmarkStart w:id="24" w:name="X544fa342609bd56a7aea7dc073e0971820e6a26"/>
    <w:p>
      <w:pPr>
        <w:pStyle w:val="Heading2"/>
      </w:pPr>
      <w:r>
        <w:rPr>
          <w:b/>
          <w:bCs/>
        </w:rPr>
        <w:t xml:space="preserve">Primedba 16: Odluka doneta bez prethodno pribavljenih uslova nadležnih organa</w:t>
      </w:r>
    </w:p>
    <w:p>
      <w:pPr>
        <w:pStyle w:val="FirstParagraph"/>
      </w:pPr>
      <w:r>
        <w:t xml:space="preserve">Zakon o planiranju i izgradnji zahteva da se dokumenti prostornog planiranja donose na osnovu prethodno pribavljenih uslova nadležnih organa i organizacija. U dostupnoj dokumentaciji nema dokaza da su pre donošenja Odluke o izradi pribavljeni uslovi zaštite nepokretnih kulturnih dobara od nadležnog zavoda za zaštitu spomenika kulture, uslovi zavoda za zaštitu prirode, niti da postoji makar okvirna hidrogeološka analiza i analiza biodiverziteta. Odluka o izradi pominje da će Studija zaštite nepokretnih kulturnih dobara tek biti izrađena – ali upravo ta studija definiše uslove za planiranje, pa se odluka ne može doneti pre nego što ona postoji. Postupak koji obuhvata lokalitet svetske baštine zahteva dodatne korake koji u priloženoj dokumentaciji uopšte nisu prepoznati.</w:t>
      </w:r>
    </w:p>
    <w:bookmarkEnd w:id="24"/>
    <w:bookmarkStart w:id="25" w:name="X6c2823a650605618cfd6d18eeba9123511ec76e"/>
    <w:p>
      <w:pPr>
        <w:pStyle w:val="Heading2"/>
      </w:pPr>
      <w:r>
        <w:rPr>
          <w:b/>
          <w:bCs/>
        </w:rPr>
        <w:t xml:space="preserve">Primedba 17: Planiranje na osnovu nepotvrđenih činjenica – nema dokazanih rezervi na „Malka Golaji”</w:t>
      </w:r>
    </w:p>
    <w:p>
      <w:pPr>
        <w:pStyle w:val="FirstParagraph"/>
      </w:pPr>
      <w:r>
        <w:t xml:space="preserve">Sama kompanija Serbia Zijin Mining ističe da su istraživanja na Malkoj Golaji još u ranoj fazi, da nema potvrđenog rudnog ležišta niti dokazanih rezervi koje bi opravdale ekonomsku isplativost eksploatacije. Donošenje prostornog plana posebne namene za područje za koje ne postoje dokazane rezerve znači da se buduća namena prostora – uključujući zabrane gradnje, koridore i mogućnost preseljenja – utvrđuje na temelju nepotvrđenih činjenica.</w:t>
      </w:r>
    </w:p>
    <w:bookmarkEnd w:id="25"/>
    <w:bookmarkStart w:id="26" w:name="X92f2f36c7aafc17f34a49b2e070007fa5c15b9e"/>
    <w:p>
      <w:pPr>
        <w:pStyle w:val="Heading2"/>
      </w:pPr>
      <w:r>
        <w:rPr>
          <w:b/>
          <w:bCs/>
        </w:rPr>
        <w:t xml:space="preserve">Primedba 18: Nalaz šumarske inspekcije o nezakonitoj seči na Malkoj Golaji</w:t>
      </w:r>
    </w:p>
    <w:p>
      <w:pPr>
        <w:pStyle w:val="FirstParagraph"/>
      </w:pPr>
      <w:r>
        <w:t xml:space="preserve">Republička šumarska i lovna inspekcija je, samo nekoliko dana pre donošenja Odluke o izradi, utvrdila da na području Malke Golaje nedostaje 11,49 hektara drvne mase i da je posečena drvna masa zatrpavana mašinama. Kompaniji je naložena hitna obustava korišćenja šuma i najavljena prijava za privredni prestup. Ovaj nalaz ukazuje na nepoštovanje propisa na samoj lokaciji i mora biti uzet u obzir pri oceni podobnosti područja za dalje planiranje.</w:t>
      </w:r>
    </w:p>
    <w:bookmarkEnd w:id="26"/>
    <w:bookmarkStart w:id="27" w:name="Xd0268e65a0fff17a26b44b325d24be2b2515af5"/>
    <w:p>
      <w:pPr>
        <w:pStyle w:val="Heading2"/>
      </w:pPr>
      <w:r>
        <w:rPr>
          <w:b/>
          <w:bCs/>
        </w:rPr>
        <w:t xml:space="preserve">Primedba 19: Izostanak klimatskih ciljeva i mera dekarbonizacije</w:t>
      </w:r>
    </w:p>
    <w:p>
      <w:pPr>
        <w:pStyle w:val="FirstParagraph"/>
      </w:pPr>
      <w:r>
        <w:t xml:space="preserve">Elaborat pominje „zeleno inženjerstvo”, ali u celom dokumentu nedostaju jasni, merljivi i obavezujući ciljevi smanjenja emisije gasova sa efektom staklene bašte, kao i detaljna analiza rizika koje klimatske promene nose za ovakav kompleks (ekstremne suše, poplave). Plan za veliki rudarsko-metalurški kompleks koji se donosi 2026. godine, bez ciljeva dekarbonizacije, nije usklađen sa Pariskim sporazumom, ciljevima Zelene agende za Zapadni Balkan, ni sa zvaničnim opredeljenjem Republike Srbije za „zeleni” razvoj.</w:t>
      </w:r>
    </w:p>
    <w:bookmarkEnd w:id="27"/>
    <w:bookmarkStart w:id="28" w:name="X000098f426447e1b87a5a738da9850695932358"/>
    <w:p>
      <w:pPr>
        <w:pStyle w:val="Heading2"/>
      </w:pPr>
      <w:r>
        <w:rPr>
          <w:b/>
          <w:bCs/>
        </w:rPr>
        <w:t xml:space="preserve">Dokumentacija i analize koje su morale postojati pre donošenja Odluke o izradi</w:t>
      </w:r>
    </w:p>
    <w:p>
      <w:pPr>
        <w:pStyle w:val="FirstParagraph"/>
      </w:pPr>
      <w:r>
        <w:t xml:space="preserve">Nedostaci navedeni u primedbama nisu pitanje doterivanja teksta u daljoj fazi. Odluka o izradi doneta je bez podloga bez kojih planiranje na ovom području nije moguće, a to su najmanje:</w:t>
      </w:r>
    </w:p>
    <w:p>
      <w:pPr>
        <w:pStyle w:val="Compact"/>
        <w:numPr>
          <w:ilvl w:val="0"/>
          <w:numId w:val="1002"/>
        </w:numPr>
      </w:pPr>
      <w:r>
        <w:t xml:space="preserve">studije izvodljivosti, idejna rešenja i katastarsko-topografske podloge za rudnik „Malka Golaja” i novu topionicu, sa uporednom analizom alternativnih lokacija topionice, obrazloženjem kapaciteta i sirovinskim bilansom;</w:t>
      </w:r>
    </w:p>
    <w:p>
      <w:pPr>
        <w:pStyle w:val="Compact"/>
        <w:numPr>
          <w:ilvl w:val="0"/>
          <w:numId w:val="1002"/>
        </w:numPr>
      </w:pPr>
      <w:r>
        <w:t xml:space="preserve">uslovi nadležnog zavoda za zaštitu spomenika kulture i Studija zaštite nepokretnih kulturnih dobara, sa izričitom ocenom uticaja na Felix Romulianu i njenu zaštićenu okolinu i prethodnim arheološkim rekognosciranjem celog planskog područja;</w:t>
      </w:r>
    </w:p>
    <w:p>
      <w:pPr>
        <w:pStyle w:val="Compact"/>
        <w:numPr>
          <w:ilvl w:val="0"/>
          <w:numId w:val="1002"/>
        </w:numPr>
      </w:pPr>
      <w:r>
        <w:t xml:space="preserve">sveobuhvatna studija o biodiverzitetu zasnovana na terenskim istraživanjima u trajanju od najmanje jedne pune vegetacione sezone, po uslovima Zavoda za zaštitu prirode Srbije, sa nalazima o vrstama Androsace maxima, Cerambyx cerdo i Emberiza hortulana i ocenom prihvatljivosti za ekološku mrežu;</w:t>
      </w:r>
    </w:p>
    <w:p>
      <w:pPr>
        <w:pStyle w:val="Compact"/>
        <w:numPr>
          <w:ilvl w:val="0"/>
          <w:numId w:val="1002"/>
        </w:numPr>
      </w:pPr>
      <w:r>
        <w:t xml:space="preserve">detaljna hidrogeološka studija sa kartiranjem svih izvorišta pijaće vode, javnih česama, termomineralnih izvora u Nikoličevu i Gamzigradskoj banji, procenom njihove povezanosti sa zonom rudarskih radova i rizika od iscrpljivanja i kontaminacije;</w:t>
      </w:r>
    </w:p>
    <w:p>
      <w:pPr>
        <w:pStyle w:val="Compact"/>
        <w:numPr>
          <w:ilvl w:val="0"/>
          <w:numId w:val="1002"/>
        </w:numPr>
      </w:pPr>
      <w:r>
        <w:t xml:space="preserve">celovit vodni bilans za sve tri celine kompleksa, sa maksimalnim zahvatanjem po izvorištu, garantovanim ekološkim protocima i prioritetom vodosnabdevanja stanovništva;</w:t>
      </w:r>
    </w:p>
    <w:p>
      <w:pPr>
        <w:pStyle w:val="Compact"/>
        <w:numPr>
          <w:ilvl w:val="0"/>
          <w:numId w:val="1002"/>
        </w:numPr>
      </w:pPr>
      <w:r>
        <w:t xml:space="preserve">analiza kumulativnih uticaja sa postojećim jalovištem „Veliki Krivelj”, analiza rizika od rušenja brane jalovišta sa kartom plavljenja nizvodnih naselja i uporedna analiza alternativnih tehnologija odlaganja jalovine;</w:t>
      </w:r>
    </w:p>
    <w:p>
      <w:pPr>
        <w:pStyle w:val="Compact"/>
        <w:numPr>
          <w:ilvl w:val="0"/>
          <w:numId w:val="1002"/>
        </w:numPr>
      </w:pPr>
      <w:r>
        <w:t xml:space="preserve">geohemijska karakterizacija rudarskog otpada (ABA/NAG testovi kiselinskog potencijala) sa tehničkim rešenjem izolacije odlagališta piritnog koncentrata i finansijskim garancijama za sanaciju;</w:t>
      </w:r>
    </w:p>
    <w:p>
      <w:pPr>
        <w:pStyle w:val="Compact"/>
        <w:numPr>
          <w:ilvl w:val="0"/>
          <w:numId w:val="1002"/>
        </w:numPr>
      </w:pPr>
      <w:r>
        <w:t xml:space="preserve">geotehnički model zone sleganja sa nezavisnom revizijom, snimanje nultog stanja objekata i mehanizam obeštećenja vlasnika;</w:t>
      </w:r>
    </w:p>
    <w:p>
      <w:pPr>
        <w:pStyle w:val="Compact"/>
        <w:numPr>
          <w:ilvl w:val="0"/>
          <w:numId w:val="1002"/>
        </w:numPr>
      </w:pPr>
      <w:r>
        <w:t xml:space="preserve">procena prekograničnih uticaja na Rumuniju i Bugarsku u skladu sa Espoo konvencijom;</w:t>
      </w:r>
    </w:p>
    <w:p>
      <w:pPr>
        <w:pStyle w:val="Compact"/>
        <w:numPr>
          <w:ilvl w:val="0"/>
          <w:numId w:val="1002"/>
        </w:numPr>
      </w:pPr>
      <w:r>
        <w:t xml:space="preserve">analiza klimatskih rizika i merljivi ciljevi dekarbonizacije kompleksa.</w:t>
      </w:r>
    </w:p>
    <w:bookmarkEnd w:id="28"/>
    <w:bookmarkStart w:id="29" w:name="zahtev"/>
    <w:p>
      <w:pPr>
        <w:pStyle w:val="Heading2"/>
      </w:pPr>
      <w:r>
        <w:rPr>
          <w:b/>
          <w:bCs/>
        </w:rPr>
        <w:t xml:space="preserve">ZAHTEV</w:t>
      </w:r>
    </w:p>
    <w:p>
      <w:pPr>
        <w:pStyle w:val="FirstParagraph"/>
      </w:pPr>
      <w:r>
        <w:t xml:space="preserve">Zbog svega navedenog podnosim jedan zahtev:</w:t>
      </w:r>
    </w:p>
    <w:p>
      <w:pPr>
        <w:pStyle w:val="BodyText"/>
      </w:pPr>
      <w:r>
        <w:rPr>
          <w:b/>
          <w:bCs/>
        </w:rPr>
        <w:t xml:space="preserve">Da se Odluka o izradi Prostornog plana područja posebne namene rudarsko-metalurškog kompleksa „Čukaru Peki” i „Malka Golaja” („Službeni glasnik RS”, broj 54/26) povuče, odnosno stavi van snage, i da se postupak izrade Prostornog plana obustavi.</w:t>
      </w:r>
    </w:p>
    <w:p>
      <w:pPr>
        <w:pStyle w:val="BodyText"/>
      </w:pPr>
      <w:r>
        <w:t xml:space="preserve">Zahtev se zasniva na tome što je Odluka doneta pozivom na propis koji je prestao da važi, bez prethodno pribavljenih uslova nadležnih organa, bez obaveznih stručnih podloga i za područje za koje ne postoje dokazane rezerve – dakle na nedostacima koji se tiču samog osnova postupka i ne mogu se otkloniti izradom nacrta. Molim da se ovaj zahtev, ako o njemu ne odlučuje Agencija, prosledi organu nadležnom za stavljanje van snage navedene odluke.</w:t>
      </w:r>
    </w:p>
    <w:p>
      <w:pPr>
        <w:pStyle w:val="BodyText"/>
      </w:pPr>
      <w:r>
        <w:t xml:space="preserve">Molim da me, u skladu sa zakonom, obavestite o ishodu razmatranja ovih primedbi i zahteva.</w:t>
      </w:r>
    </w:p>
    <w:p>
      <w:pPr>
        <w:pStyle w:val="BodyText"/>
      </w:pPr>
      <w:r>
        <w:t xml:space="preserve">U [MESTO], [DATUM]</w:t>
      </w:r>
    </w:p>
    <w:p>
      <w:pPr>
        <w:pStyle w:val="BodyText"/>
      </w:pPr>
      <w:r>
        <w:t xml:space="preserve">_____________________________</w:t>
      </w:r>
    </w:p>
    <w:p>
      <w:pPr>
        <w:pStyle w:val="BodyText"/>
      </w:pPr>
      <w:r>
        <w:t xml:space="preserve">[IME I PREZIME], podnosilac primedbi</w:t>
      </w:r>
    </w:p>
    <w:bookmarkEnd w:id="29"/>
    <w:sectPr>
      <w:pgSz w:h="16838" w:orient="portrait" w:w="11906"/>
      <w:pgMar w:bottom="1417" w:footer="708" w:header="708" w:left="1417" w:right="1417" w:top="1417"/>
      <w:pgNumType w:start="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g="http://schemas.microsoft.com/office/word/2010/wordprocessingGroup" xmlns:wps="http://schemas.microsoft.com/office/word/2010/wordprocessingShape">
  <w:abstractNum w:abstractNumId="1">
    <w:lvl w:ilvl="0">
      <w:start w:val="1"/>
      <w:numFmt w:val="bullet"/>
      <w:lvlText w:val="–"/>
      <w:lvlJc w:val="left"/>
      <w:pPr>
        <w:ind w:hanging="283" w:left="567"/>
      </w:pPr>
      <w:rPr/>
    </w:lvl>
    <w:lvl w:ilvl="1">
      <w:start w:val="1"/>
      <w:numFmt w:val="bullet"/>
      <w:lvlText w:val=""/>
      <w:lvlJc w:val="left"/>
      <w:pPr>
        <w:ind w:firstLine="0" w:left="0"/>
      </w:pPr>
      <w:rPr/>
    </w:lvl>
    <w:lvl w:ilvl="2">
      <w:start w:val="1"/>
      <w:numFmt w:val="bullet"/>
      <w:lvlText w:val=""/>
      <w:lvlJc w:val="left"/>
      <w:pPr>
        <w:ind w:firstLine="0" w:left="0"/>
      </w:pPr>
      <w:rPr/>
    </w:lvl>
    <w:lvl w:ilvl="3">
      <w:start w:val="1"/>
      <w:numFmt w:val="bullet"/>
      <w:lvlText w:val=""/>
      <w:lvlJc w:val="left"/>
      <w:pPr>
        <w:ind w:firstLine="0" w:left="0"/>
      </w:pPr>
      <w:rPr/>
    </w:lvl>
    <w:lvl w:ilvl="4">
      <w:start w:val="1"/>
      <w:numFmt w:val="bullet"/>
      <w:lvlText w:val=""/>
      <w:lvlJc w:val="left"/>
      <w:pPr>
        <w:ind w:firstLine="0" w:left="0"/>
      </w:pPr>
      <w:rPr/>
    </w:lvl>
    <w:lvl w:ilvl="5">
      <w:start w:val="1"/>
      <w:numFmt w:val="bullet"/>
      <w:lvlText w:val=""/>
      <w:lvlJc w:val="left"/>
      <w:pPr>
        <w:ind w:firstLine="0" w:left="0"/>
      </w:pPr>
      <w:rPr/>
    </w:lvl>
    <w:lvl w:ilvl="6">
      <w:start w:val="1"/>
      <w:numFmt w:val="bullet"/>
      <w:lvlText w:val=""/>
      <w:lvlJc w:val="left"/>
      <w:pPr>
        <w:ind w:firstLine="0" w:left="0"/>
      </w:pPr>
      <w:rPr/>
    </w:lvl>
    <w:lvl w:ilvl="7">
      <w:start w:val="1"/>
      <w:numFmt w:val="bullet"/>
      <w:lvlText w:val=""/>
      <w:lvlJc w:val="left"/>
      <w:pPr>
        <w:ind w:firstLine="0" w:left="0"/>
      </w:pPr>
      <w:rPr/>
    </w:lvl>
    <w:lvl w:ilvl="8">
      <w:start w:val="1"/>
      <w:numFmt w:val="bullet"/>
      <w:lvlText w:val=""/>
      <w:lvlJc w:val="left"/>
      <w:pPr>
        <w:ind w:firstLine="0" w:left="0"/>
      </w:pPr>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TrueTypeFonts w:val="1"/>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g="http://schemas.microsoft.com/office/word/2010/wordprocessingGroup" xmlns:wps="http://schemas.microsoft.com/office/word/2010/wordprocessingShape">
  <w:docDefaults>
    <w:rPrDefault>
      <w:rPr>
        <w:sz w:val="22"/>
        <w:szCs w:val="22"/>
      </w:rPr>
    </w:rPrDefault>
    <w:pPrDefault>
      <w:pPr/>
    </w:pPrDefault>
  </w:docDefaults>
  <w:style w:default="1" w:styleId="TableNormal" w:type="table">
    <w:name w:val="TableNormal"/>
    <w:tblPr>
      <w:tblCellMar>
        <w:top w:type="dxa" w:w="100.0"/>
        <w:left w:type="dxa" w:w="100.0"/>
        <w:bottom w:type="dxa" w:w="100.0"/>
        <w:right w:type="dxa" w:w="100.0"/>
      </w:tblCellMar>
    </w:tblPr>
  </w:style>
  <w:style w:default="1" w:styleId="Normal" w:type="paragraph">
    <w:name w:val="normal"/>
  </w:style>
  <w:style w:styleId="Heading1" w:type="paragraph">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styleId="Heading2" w:type="paragraph">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styleId="Heading3" w:type="paragraph">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styleId="Heading4" w:type="paragraph">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pPr>
    <w:rPr>
      <w:rFonts w:ascii="Times New Roman" w:cs="Times New Roman" w:eastAsia="Times New Roman" w:hAnsi="Times New Roman"/>
      <w:b w:val="0"/>
      <w:bCs w:val="0"/>
      <w:i w:val="1"/>
      <w:iCs w:val="1"/>
      <w:smallCaps w:val="0"/>
      <w:strike w:val="0"/>
      <w:color w:val="2e74b5"/>
      <w:sz w:val="22"/>
      <w:szCs w:val="22"/>
      <w:u w:val="none"/>
      <w:shd w:fill="auto" w:val="clear"/>
      <w:vertAlign w:val="baseline"/>
    </w:rPr>
  </w:style>
  <w:style w:styleId="Heading5" w:type="paragraph">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pPr>
    <w:rPr>
      <w:rFonts w:ascii="Times New Roman" w:cs="Times New Roman" w:eastAsia="Times New Roman" w:hAnsi="Times New Roman"/>
      <w:b w:val="0"/>
      <w:bCs w:val="0"/>
      <w:i w:val="0"/>
      <w:iCs w:val="0"/>
      <w:smallCaps w:val="0"/>
      <w:strike w:val="0"/>
      <w:color w:val="2e74b5"/>
      <w:sz w:val="22"/>
      <w:szCs w:val="22"/>
      <w:u w:val="none"/>
      <w:shd w:fill="auto" w:val="clear"/>
      <w:vertAlign w:val="baseline"/>
    </w:rPr>
  </w:style>
  <w:style w:styleId="Heading6" w:type="paragraph">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styleId="Title" w:type="paragraph">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firstLine="0" w:left="0" w:right="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styleId="Subtitle" w:type="paragraph">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2026-07-29T18:09:55Z</dcterms:created>
  <dcterms:modified xsi:type="dcterms:W3CDTF">2026-07-29T18:09:55Z</dcterms:modified>
</cp:coreProperties>
</file>

<file path=docProps/custom.xml><?xml version="1.0" encoding="utf-8"?>
<Properties xmlns="http://schemas.openxmlformats.org/officeDocument/2006/custom-properties" xmlns:vt="http://schemas.openxmlformats.org/officeDocument/2006/docPropsVTypes"/>
</file>